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F106EC" w14:paraId="7BD48322" w14:textId="77777777" w:rsidTr="00F106EC">
        <w:tc>
          <w:tcPr>
            <w:tcW w:w="0" w:type="auto"/>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150"/>
            </w:tblGrid>
            <w:tr w:rsidR="00F106EC" w14:paraId="78B2B048" w14:textId="77777777">
              <w:trPr>
                <w:jc w:val="center"/>
              </w:trPr>
              <w:tc>
                <w:tcPr>
                  <w:tcW w:w="3150" w:type="dxa"/>
                  <w:vAlign w:val="center"/>
                  <w:hideMark/>
                </w:tcPr>
                <w:p w14:paraId="4681B2BC" w14:textId="1D143E1C" w:rsidR="00F106EC" w:rsidRDefault="00F106EC">
                  <w:pPr>
                    <w:rPr>
                      <w:rFonts w:eastAsia="Times New Roman"/>
                    </w:rPr>
                  </w:pPr>
                  <w:r>
                    <w:rPr>
                      <w:rFonts w:eastAsia="Times New Roman"/>
                      <w:noProof/>
                    </w:rPr>
                    <w:drawing>
                      <wp:inline distT="0" distB="0" distL="0" distR="0" wp14:anchorId="725BCAD8" wp14:editId="7A55A59D">
                        <wp:extent cx="2000250" cy="214122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000250" cy="2141220"/>
                                </a:xfrm>
                                <a:prstGeom prst="rect">
                                  <a:avLst/>
                                </a:prstGeom>
                                <a:noFill/>
                                <a:ln>
                                  <a:noFill/>
                                </a:ln>
                              </pic:spPr>
                            </pic:pic>
                          </a:graphicData>
                        </a:graphic>
                      </wp:inline>
                    </w:drawing>
                  </w:r>
                </w:p>
              </w:tc>
            </w:tr>
          </w:tbl>
          <w:p w14:paraId="7A21C020" w14:textId="77777777" w:rsidR="00F106EC" w:rsidRDefault="00F106EC">
            <w:pPr>
              <w:jc w:val="center"/>
              <w:rPr>
                <w:rFonts w:ascii="Times New Roman" w:eastAsia="Times New Roman" w:hAnsi="Times New Roman" w:cs="Times New Roman"/>
                <w:sz w:val="20"/>
                <w:szCs w:val="20"/>
              </w:rPr>
            </w:pPr>
          </w:p>
        </w:tc>
      </w:tr>
      <w:tr w:rsidR="00F106EC" w14:paraId="2B1ACEFC" w14:textId="77777777" w:rsidTr="00F106EC">
        <w:tc>
          <w:tcPr>
            <w:tcW w:w="0" w:type="auto"/>
            <w:vAlign w:val="center"/>
            <w:hideMark/>
          </w:tcPr>
          <w:p w14:paraId="22B7A4C4" w14:textId="77777777" w:rsidR="00F106EC" w:rsidRDefault="00F106EC">
            <w:pPr>
              <w:pStyle w:val="NormalWeb"/>
              <w:rPr>
                <w:rFonts w:ascii="Arial" w:hAnsi="Arial" w:cs="Arial"/>
                <w:color w:val="000000"/>
                <w:sz w:val="24"/>
                <w:szCs w:val="24"/>
              </w:rPr>
            </w:pPr>
            <w:r>
              <w:rPr>
                <w:rFonts w:ascii="Arial" w:hAnsi="Arial" w:cs="Arial"/>
                <w:color w:val="000000"/>
                <w:sz w:val="21"/>
                <w:szCs w:val="21"/>
              </w:rPr>
              <w:t>January 4, 2022</w:t>
            </w:r>
          </w:p>
          <w:p w14:paraId="7A38BEF4" w14:textId="77777777" w:rsidR="00F106EC" w:rsidRDefault="00F106EC">
            <w:pPr>
              <w:pStyle w:val="NormalWeb"/>
              <w:rPr>
                <w:rFonts w:ascii="Arial" w:hAnsi="Arial" w:cs="Arial"/>
                <w:color w:val="000000"/>
                <w:sz w:val="24"/>
                <w:szCs w:val="24"/>
              </w:rPr>
            </w:pPr>
            <w:r>
              <w:rPr>
                <w:rFonts w:ascii="Arial" w:hAnsi="Arial" w:cs="Arial"/>
                <w:color w:val="000000"/>
                <w:sz w:val="21"/>
                <w:szCs w:val="21"/>
              </w:rPr>
              <w:t>Dear WGC Member:</w:t>
            </w:r>
          </w:p>
          <w:p w14:paraId="6E0288FB" w14:textId="77777777" w:rsidR="00F106EC" w:rsidRDefault="00F106EC">
            <w:pPr>
              <w:pStyle w:val="NormalWeb"/>
              <w:rPr>
                <w:rFonts w:ascii="Arial" w:hAnsi="Arial" w:cs="Arial"/>
                <w:color w:val="000000"/>
                <w:sz w:val="24"/>
                <w:szCs w:val="24"/>
              </w:rPr>
            </w:pPr>
            <w:r>
              <w:rPr>
                <w:rFonts w:ascii="Arial" w:hAnsi="Arial" w:cs="Arial"/>
                <w:color w:val="000000"/>
                <w:sz w:val="21"/>
                <w:szCs w:val="21"/>
              </w:rPr>
              <w:t>The Women’s Giving Circle (WGC) often touts the Power of the Purse, but did you realize we actually have three different purses?  The funds in these three purses are held by various fiscal sponsors since the WGC does not have 501(c)(3) non-profit status.</w:t>
            </w:r>
          </w:p>
          <w:p w14:paraId="724DE637" w14:textId="77777777" w:rsidR="00F106EC" w:rsidRDefault="00F106EC">
            <w:pPr>
              <w:pStyle w:val="NormalWeb"/>
              <w:rPr>
                <w:rFonts w:ascii="Arial" w:hAnsi="Arial" w:cs="Arial"/>
                <w:color w:val="000000"/>
                <w:sz w:val="24"/>
                <w:szCs w:val="24"/>
              </w:rPr>
            </w:pPr>
            <w:proofErr w:type="spellStart"/>
            <w:r>
              <w:rPr>
                <w:rFonts w:ascii="Arial" w:hAnsi="Arial" w:cs="Arial"/>
                <w:color w:val="000000"/>
                <w:sz w:val="21"/>
                <w:szCs w:val="21"/>
              </w:rPr>
              <w:t>Growfund</w:t>
            </w:r>
            <w:proofErr w:type="spellEnd"/>
            <w:r>
              <w:rPr>
                <w:rFonts w:ascii="Arial" w:hAnsi="Arial" w:cs="Arial"/>
                <w:color w:val="000000"/>
                <w:sz w:val="21"/>
                <w:szCs w:val="21"/>
              </w:rPr>
              <w:t xml:space="preserve">, the fiscal sponsor for our grant fund (the mid-sized purse), is transitioning its giving circles to Grapevine, a platform that is specifically designed to help giving circles grow and succeed.  Grapevine already supports hundreds of giving circles across the country.  Therefore, as of January 15, 2022, WGC’s grant fund will no longer be administered by </w:t>
            </w:r>
            <w:proofErr w:type="spellStart"/>
            <w:r>
              <w:rPr>
                <w:rFonts w:ascii="Arial" w:hAnsi="Arial" w:cs="Arial"/>
                <w:color w:val="000000"/>
                <w:sz w:val="21"/>
                <w:szCs w:val="21"/>
              </w:rPr>
              <w:t>Growfund</w:t>
            </w:r>
            <w:proofErr w:type="spellEnd"/>
            <w:r>
              <w:rPr>
                <w:rFonts w:ascii="Arial" w:hAnsi="Arial" w:cs="Arial"/>
                <w:color w:val="000000"/>
                <w:sz w:val="21"/>
                <w:szCs w:val="21"/>
              </w:rPr>
              <w:t xml:space="preserve"> and will transition to </w:t>
            </w:r>
            <w:hyperlink r:id="rId6" w:history="1">
              <w:r>
                <w:rPr>
                  <w:rStyle w:val="Hyperlink"/>
                  <w:rFonts w:ascii="Arial" w:hAnsi="Arial" w:cs="Arial"/>
                  <w:sz w:val="21"/>
                  <w:szCs w:val="21"/>
                </w:rPr>
                <w:t>Grapevine</w:t>
              </w:r>
            </w:hyperlink>
            <w:r>
              <w:rPr>
                <w:rFonts w:ascii="Arial" w:hAnsi="Arial" w:cs="Arial"/>
                <w:color w:val="000000"/>
                <w:sz w:val="21"/>
                <w:szCs w:val="21"/>
              </w:rPr>
              <w:t xml:space="preserve">.  Any existing funds in our </w:t>
            </w:r>
            <w:proofErr w:type="spellStart"/>
            <w:r>
              <w:rPr>
                <w:rFonts w:ascii="Arial" w:hAnsi="Arial" w:cs="Arial"/>
                <w:color w:val="000000"/>
                <w:sz w:val="21"/>
                <w:szCs w:val="21"/>
              </w:rPr>
              <w:t>Growfund</w:t>
            </w:r>
            <w:proofErr w:type="spellEnd"/>
            <w:r>
              <w:rPr>
                <w:rFonts w:ascii="Arial" w:hAnsi="Arial" w:cs="Arial"/>
                <w:color w:val="000000"/>
                <w:sz w:val="21"/>
                <w:szCs w:val="21"/>
              </w:rPr>
              <w:t xml:space="preserve"> giving circle account will transfer to Grapevine by January 31, 2022. </w:t>
            </w:r>
          </w:p>
          <w:p w14:paraId="3185AE83" w14:textId="77777777" w:rsidR="00F106EC" w:rsidRDefault="00F106EC">
            <w:pPr>
              <w:pStyle w:val="NormalWeb"/>
              <w:rPr>
                <w:rFonts w:ascii="Arial" w:hAnsi="Arial" w:cs="Arial"/>
                <w:color w:val="000000"/>
                <w:sz w:val="24"/>
                <w:szCs w:val="24"/>
              </w:rPr>
            </w:pPr>
            <w:r>
              <w:rPr>
                <w:rFonts w:ascii="Arial" w:hAnsi="Arial" w:cs="Arial"/>
                <w:color w:val="000000"/>
                <w:sz w:val="21"/>
                <w:szCs w:val="21"/>
              </w:rPr>
              <w:t>After January 15, you will receive an email notification from Grapevine to activate your Grapevine account.  This will enable you to receive notifications from Grapevine and includes links to easily set-up a recurring membership payment for 2022 or make a one-time renewal payment.   </w:t>
            </w:r>
          </w:p>
          <w:p w14:paraId="7084AC08" w14:textId="77777777" w:rsidR="00F106EC" w:rsidRDefault="00F106EC">
            <w:pPr>
              <w:pStyle w:val="NormalWeb"/>
              <w:rPr>
                <w:rFonts w:ascii="Arial" w:hAnsi="Arial" w:cs="Arial"/>
                <w:color w:val="000000"/>
                <w:sz w:val="24"/>
                <w:szCs w:val="24"/>
              </w:rPr>
            </w:pPr>
            <w:r>
              <w:rPr>
                <w:rFonts w:ascii="Arial" w:hAnsi="Arial" w:cs="Arial"/>
                <w:color w:val="000000"/>
                <w:sz w:val="21"/>
                <w:szCs w:val="21"/>
              </w:rPr>
              <w:t>This change does not affect our two other purses.  Our largest purse, the endowed fund, will continue to be held by the Community Foundation of Harford County and its distributions will continue to fund the Members’ Choice Award.  Finally, our smallest purse, the admin fund, will continue to be held by the Faith Based Nonprofit Resource Center (FBNRC).    </w:t>
            </w:r>
          </w:p>
          <w:p w14:paraId="2CC8A3F2" w14:textId="77777777" w:rsidR="00F106EC" w:rsidRDefault="00F106EC">
            <w:pPr>
              <w:pStyle w:val="NormalWeb"/>
              <w:spacing w:after="0"/>
              <w:rPr>
                <w:rFonts w:ascii="Arial" w:hAnsi="Arial" w:cs="Arial"/>
                <w:color w:val="000000"/>
                <w:sz w:val="24"/>
                <w:szCs w:val="24"/>
              </w:rPr>
            </w:pPr>
            <w:r>
              <w:rPr>
                <w:rFonts w:ascii="Arial" w:hAnsi="Arial" w:cs="Arial"/>
                <w:color w:val="000000"/>
                <w:sz w:val="21"/>
                <w:szCs w:val="21"/>
              </w:rPr>
              <w:t>This transition to Grapevine provides a number of benefits:</w:t>
            </w:r>
          </w:p>
          <w:p w14:paraId="28464A44" w14:textId="77777777" w:rsidR="00F106EC" w:rsidRDefault="00F106EC">
            <w:pPr>
              <w:rPr>
                <w:rFonts w:ascii="Arial" w:eastAsia="Times New Roman" w:hAnsi="Arial" w:cs="Arial"/>
                <w:color w:val="000000"/>
                <w:sz w:val="24"/>
                <w:szCs w:val="24"/>
              </w:rPr>
            </w:pPr>
            <w:r>
              <w:rPr>
                <w:rFonts w:ascii="Arial" w:eastAsia="Times New Roman" w:hAnsi="Arial" w:cs="Arial"/>
                <w:color w:val="000000"/>
                <w:sz w:val="21"/>
                <w:szCs w:val="21"/>
              </w:rPr>
              <w:t xml:space="preserve">1) Only ONE transaction is needed for membership payment since Grapevine will accept </w:t>
            </w:r>
            <w:r>
              <w:rPr>
                <w:rFonts w:ascii="Arial" w:eastAsia="Times New Roman" w:hAnsi="Arial" w:cs="Arial"/>
                <w:color w:val="000000"/>
                <w:sz w:val="21"/>
                <w:szCs w:val="21"/>
                <w:u w:val="single"/>
              </w:rPr>
              <w:t>both</w:t>
            </w:r>
            <w:r>
              <w:rPr>
                <w:rFonts w:ascii="Arial" w:eastAsia="Times New Roman" w:hAnsi="Arial" w:cs="Arial"/>
                <w:color w:val="000000"/>
                <w:sz w:val="21"/>
                <w:szCs w:val="21"/>
              </w:rPr>
              <w:t xml:space="preserve"> the grant and admin fund payments. </w:t>
            </w:r>
            <w:r>
              <w:rPr>
                <w:rFonts w:ascii="Arial" w:eastAsia="Times New Roman" w:hAnsi="Arial" w:cs="Arial"/>
                <w:color w:val="000000"/>
                <w:sz w:val="21"/>
                <w:szCs w:val="21"/>
              </w:rPr>
              <w:br/>
              <w:t>2) Check payments are again an option (although electronic transactions are strongly encouraged). </w:t>
            </w:r>
            <w:r>
              <w:rPr>
                <w:rFonts w:ascii="Arial" w:eastAsia="Times New Roman" w:hAnsi="Arial" w:cs="Arial"/>
                <w:color w:val="000000"/>
                <w:sz w:val="21"/>
                <w:szCs w:val="21"/>
              </w:rPr>
              <w:br/>
              <w:t>3) Grapevine is a free platform, offering reduced payment processing fees (0.08% for bank account transfers; 2.2% + $0.30 cents for most credit/debit cards; or 3.5% for American Express).</w:t>
            </w:r>
            <w:r>
              <w:rPr>
                <w:rFonts w:ascii="Arial" w:eastAsia="Times New Roman" w:hAnsi="Arial" w:cs="Arial"/>
                <w:color w:val="000000"/>
                <w:sz w:val="21"/>
                <w:szCs w:val="21"/>
              </w:rPr>
              <w:br/>
              <w:t>4) The Grapevine platform enhances our ability to keep members connected.</w:t>
            </w:r>
            <w:r>
              <w:rPr>
                <w:rFonts w:ascii="Arial" w:eastAsia="Times New Roman" w:hAnsi="Arial" w:cs="Arial"/>
                <w:color w:val="000000"/>
                <w:sz w:val="21"/>
                <w:szCs w:val="21"/>
              </w:rPr>
              <w:br/>
              <w:t>5) Grapevine periodically provides matching funds for donations.</w:t>
            </w:r>
          </w:p>
          <w:p w14:paraId="2B9BD3E4" w14:textId="77777777" w:rsidR="00F106EC" w:rsidRDefault="00F106EC">
            <w:pPr>
              <w:pStyle w:val="NormalWeb"/>
              <w:rPr>
                <w:rFonts w:ascii="Arial" w:hAnsi="Arial" w:cs="Arial"/>
                <w:color w:val="000000"/>
                <w:sz w:val="24"/>
                <w:szCs w:val="24"/>
              </w:rPr>
            </w:pPr>
            <w:r>
              <w:rPr>
                <w:rFonts w:ascii="Arial" w:hAnsi="Arial" w:cs="Arial"/>
                <w:color w:val="000000"/>
                <w:sz w:val="21"/>
                <w:szCs w:val="21"/>
              </w:rPr>
              <w:t xml:space="preserve">For additional details about Grapevine, checkout their </w:t>
            </w:r>
            <w:hyperlink r:id="rId7" w:history="1">
              <w:r>
                <w:rPr>
                  <w:rStyle w:val="Hyperlink"/>
                  <w:rFonts w:ascii="Arial" w:hAnsi="Arial" w:cs="Arial"/>
                  <w:sz w:val="21"/>
                  <w:szCs w:val="21"/>
                </w:rPr>
                <w:t>FAQs</w:t>
              </w:r>
            </w:hyperlink>
            <w:r>
              <w:rPr>
                <w:rFonts w:ascii="Arial" w:hAnsi="Arial" w:cs="Arial"/>
                <w:color w:val="000000"/>
                <w:sz w:val="21"/>
                <w:szCs w:val="21"/>
              </w:rPr>
              <w:t xml:space="preserve">.  If you have questions about the change, please email </w:t>
            </w:r>
            <w:hyperlink r:id="rId8" w:history="1">
              <w:r>
                <w:rPr>
                  <w:rStyle w:val="Hyperlink"/>
                  <w:rFonts w:ascii="Arial" w:hAnsi="Arial" w:cs="Arial"/>
                  <w:sz w:val="21"/>
                  <w:szCs w:val="21"/>
                </w:rPr>
                <w:t>wgchco@gmail.com</w:t>
              </w:r>
            </w:hyperlink>
            <w:r>
              <w:rPr>
                <w:rFonts w:ascii="Arial" w:hAnsi="Arial" w:cs="Arial"/>
                <w:color w:val="000000"/>
                <w:sz w:val="21"/>
                <w:szCs w:val="21"/>
              </w:rPr>
              <w:t>. Thanks for your continued support of the WGC!</w:t>
            </w:r>
          </w:p>
          <w:p w14:paraId="141CACB8" w14:textId="77777777" w:rsidR="00F106EC" w:rsidRDefault="00F106EC">
            <w:pPr>
              <w:pStyle w:val="NormalWeb"/>
              <w:spacing w:before="0" w:after="0"/>
              <w:rPr>
                <w:rFonts w:ascii="Arial" w:hAnsi="Arial" w:cs="Arial"/>
                <w:color w:val="000000"/>
                <w:sz w:val="24"/>
                <w:szCs w:val="24"/>
              </w:rPr>
            </w:pPr>
            <w:r>
              <w:rPr>
                <w:rFonts w:ascii="Arial" w:hAnsi="Arial" w:cs="Arial"/>
                <w:color w:val="000000"/>
                <w:sz w:val="21"/>
                <w:szCs w:val="21"/>
              </w:rPr>
              <w:t>Donna Kreis, Chair</w:t>
            </w:r>
            <w:r>
              <w:rPr>
                <w:rFonts w:ascii="Arial" w:hAnsi="Arial" w:cs="Arial"/>
                <w:color w:val="000000"/>
                <w:sz w:val="21"/>
                <w:szCs w:val="21"/>
              </w:rPr>
              <w:br/>
              <w:t>Women's Giving Circle of Harford County</w:t>
            </w:r>
          </w:p>
        </w:tc>
      </w:tr>
    </w:tbl>
    <w:p w14:paraId="357B29FA" w14:textId="77777777" w:rsidR="00F00870" w:rsidRDefault="00F00870"/>
    <w:sectPr w:rsidR="00F00870" w:rsidSect="00F106EC">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EC"/>
    <w:rsid w:val="00F00870"/>
    <w:rsid w:val="00F1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26C8"/>
  <w15:chartTrackingRefBased/>
  <w15:docId w15:val="{E2D91ED8-560A-4080-AAA0-DE4C9EC3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6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06EC"/>
    <w:rPr>
      <w:color w:val="0000FF"/>
      <w:u w:val="single"/>
    </w:rPr>
  </w:style>
  <w:style w:type="paragraph" w:styleId="NormalWeb">
    <w:name w:val="Normal (Web)"/>
    <w:basedOn w:val="Normal"/>
    <w:uiPriority w:val="99"/>
    <w:semiHidden/>
    <w:unhideWhenUsed/>
    <w:rsid w:val="00F106EC"/>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27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chco@gmail.com" TargetMode="External"/><Relationship Id="rId3" Type="http://schemas.openxmlformats.org/officeDocument/2006/relationships/webSettings" Target="webSettings.xml"/><Relationship Id="rId7" Type="http://schemas.openxmlformats.org/officeDocument/2006/relationships/hyperlink" Target="https://www.harfordwomengiving.org/EmailTracker/LinkTracker.ashx?linkAndRecipientCode=B3VgZ2SK32ZZfbHiEYPPXWySc2bnV%2fdEn6oca2pw7UzgKCpWzOEUuXJhJgNbA%2bitchooBVZvFFxExwzuev0NcPmMrsTTkOTNUdtQYOTz4F4%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rfordwomengiving.org/EmailTracker/LinkTracker.ashx?linkAndRecipientCode=pZl1bi9yKlMZZI4Dv1AauLJtr5T2Cmxyj2EgYuFpSCXWaTZmF1ILSDqxyc07GpajODPTTvWv0v04njurmhVAJ%2fjooYRCM5rCxJyY%2b6HS8XQ%3d" TargetMode="External"/><Relationship Id="rId5" Type="http://schemas.openxmlformats.org/officeDocument/2006/relationships/image" Target="https://www.harfordwomengiving.org/resources/Pictures/WGC%20logo%2010%20yr%20Resize%20for%20Letterhead.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 Kreis, Dylan C.</dc:creator>
  <cp:keywords/>
  <dc:description/>
  <cp:lastModifiedBy>Student - Kreis, Dylan C.</cp:lastModifiedBy>
  <cp:revision>1</cp:revision>
  <dcterms:created xsi:type="dcterms:W3CDTF">2022-01-18T02:56:00Z</dcterms:created>
  <dcterms:modified xsi:type="dcterms:W3CDTF">2022-01-18T02:59:00Z</dcterms:modified>
</cp:coreProperties>
</file>